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B2" w:rsidRDefault="004D0CEB" w:rsidP="001C5877">
      <w:pPr>
        <w:pStyle w:val="NoSpacing"/>
      </w:pPr>
      <w:r>
        <w:t>Plan- og bygningsetaten</w:t>
      </w:r>
    </w:p>
    <w:p w:rsidR="004D0CEB" w:rsidRDefault="001C5877">
      <w:pPr>
        <w:rPr>
          <w:rStyle w:val="Hyperlink"/>
        </w:rPr>
      </w:pPr>
      <w:hyperlink r:id="rId6" w:history="1">
        <w:r w:rsidR="004D0CEB" w:rsidRPr="0054235E">
          <w:rPr>
            <w:rStyle w:val="Hyperlink"/>
          </w:rPr>
          <w:t>postmottak@pbe.oslo.kommune.no</w:t>
        </w:r>
      </w:hyperlink>
    </w:p>
    <w:p w:rsidR="00D325CD" w:rsidRDefault="00D325CD"/>
    <w:p w:rsidR="004D0CEB" w:rsidRDefault="004D0CEB">
      <w:r>
        <w:t xml:space="preserve">                                                                                                                                  Oslo </w:t>
      </w:r>
      <w:r w:rsidR="00C041E3">
        <w:t>2</w:t>
      </w:r>
      <w:r w:rsidR="00D325CD">
        <w:t>8</w:t>
      </w:r>
      <w:r>
        <w:t>.</w:t>
      </w:r>
      <w:r w:rsidR="00C041E3">
        <w:t>02</w:t>
      </w:r>
      <w:r>
        <w:t>.</w:t>
      </w:r>
      <w:r w:rsidR="00C041E3">
        <w:t>20</w:t>
      </w:r>
      <w:r>
        <w:t>19</w:t>
      </w:r>
    </w:p>
    <w:p w:rsidR="004D0CEB" w:rsidRPr="00D325CD" w:rsidRDefault="004D0CEB">
      <w:pPr>
        <w:rPr>
          <w:sz w:val="28"/>
          <w:szCs w:val="28"/>
        </w:rPr>
      </w:pPr>
    </w:p>
    <w:p w:rsidR="001C5877" w:rsidRPr="001C5877" w:rsidRDefault="001C5877" w:rsidP="001C5877">
      <w:pPr>
        <w:pStyle w:val="NoSpacing"/>
        <w:rPr>
          <w:b/>
          <w:sz w:val="28"/>
          <w:szCs w:val="28"/>
        </w:rPr>
      </w:pPr>
      <w:r w:rsidRPr="001C5877">
        <w:rPr>
          <w:b/>
          <w:sz w:val="28"/>
          <w:szCs w:val="28"/>
        </w:rPr>
        <w:t>Høringsuttalelse til o</w:t>
      </w:r>
      <w:r w:rsidR="004D0CEB" w:rsidRPr="001C5877">
        <w:rPr>
          <w:b/>
          <w:sz w:val="28"/>
          <w:szCs w:val="28"/>
        </w:rPr>
        <w:t xml:space="preserve">ffentlig ettersyn: </w:t>
      </w:r>
    </w:p>
    <w:p w:rsidR="004D0CEB" w:rsidRPr="00D325CD" w:rsidRDefault="004D0CEB">
      <w:pPr>
        <w:rPr>
          <w:b/>
          <w:sz w:val="28"/>
          <w:szCs w:val="28"/>
        </w:rPr>
      </w:pPr>
      <w:r w:rsidRPr="00D325CD">
        <w:rPr>
          <w:b/>
          <w:sz w:val="28"/>
          <w:szCs w:val="28"/>
        </w:rPr>
        <w:t>Majorstuen knutepunkt og sporområde. Saksnummer 201407126</w:t>
      </w:r>
    </w:p>
    <w:p w:rsidR="004D0CEB" w:rsidRDefault="004D0CEB" w:rsidP="004D0C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Styret i </w:t>
      </w:r>
      <w:r w:rsidRPr="004D0CEB">
        <w:rPr>
          <w:sz w:val="28"/>
          <w:szCs w:val="28"/>
        </w:rPr>
        <w:t>Sameiet Majorstutorvet ønsker Byantikvarens alternativ 3</w:t>
      </w:r>
      <w:r w:rsidR="00414225">
        <w:rPr>
          <w:sz w:val="28"/>
          <w:szCs w:val="28"/>
        </w:rPr>
        <w:t>. Alternativ 1 A og 2 bryter med høyhusstrategien. Alternativ 1 B er innenfor denne, men innebærer en massiv utbygging. Alternativene 1</w:t>
      </w:r>
      <w:r w:rsidR="00CF4256">
        <w:rPr>
          <w:sz w:val="28"/>
          <w:szCs w:val="28"/>
        </w:rPr>
        <w:t xml:space="preserve"> </w:t>
      </w:r>
      <w:r w:rsidR="00C041E3">
        <w:rPr>
          <w:sz w:val="28"/>
          <w:szCs w:val="28"/>
        </w:rPr>
        <w:t>A</w:t>
      </w:r>
      <w:r w:rsidR="000F63DC">
        <w:rPr>
          <w:sz w:val="28"/>
          <w:szCs w:val="28"/>
        </w:rPr>
        <w:t>, 1 B</w:t>
      </w:r>
      <w:r w:rsidR="00C041E3">
        <w:rPr>
          <w:sz w:val="28"/>
          <w:szCs w:val="28"/>
        </w:rPr>
        <w:t xml:space="preserve"> og</w:t>
      </w:r>
      <w:r w:rsidR="00CF4256">
        <w:rPr>
          <w:sz w:val="28"/>
          <w:szCs w:val="28"/>
        </w:rPr>
        <w:t xml:space="preserve"> </w:t>
      </w:r>
      <w:r w:rsidR="000F63DC">
        <w:rPr>
          <w:sz w:val="28"/>
          <w:szCs w:val="28"/>
        </w:rPr>
        <w:t>2</w:t>
      </w:r>
      <w:r w:rsidR="00414225">
        <w:rPr>
          <w:sz w:val="28"/>
          <w:szCs w:val="28"/>
        </w:rPr>
        <w:t xml:space="preserve"> gir nærmiljøet store negative virkninger når det gjelder </w:t>
      </w:r>
      <w:r w:rsidR="00BB2BF1">
        <w:rPr>
          <w:sz w:val="28"/>
          <w:szCs w:val="28"/>
        </w:rPr>
        <w:t>dags</w:t>
      </w:r>
      <w:r w:rsidR="00414225">
        <w:rPr>
          <w:sz w:val="28"/>
          <w:szCs w:val="28"/>
        </w:rPr>
        <w:t>lys</w:t>
      </w:r>
      <w:r w:rsidR="00BB2BF1">
        <w:rPr>
          <w:sz w:val="28"/>
          <w:szCs w:val="28"/>
        </w:rPr>
        <w:t>, sol og skygge.</w:t>
      </w:r>
      <w:r>
        <w:rPr>
          <w:sz w:val="28"/>
          <w:szCs w:val="28"/>
        </w:rPr>
        <w:t xml:space="preserve"> Vi har følgende kommentarer til forslag til reguleringsplan:</w:t>
      </w:r>
    </w:p>
    <w:p w:rsidR="0093195F" w:rsidRDefault="0093195F" w:rsidP="004D0CEB">
      <w:pPr>
        <w:pStyle w:val="NoSpacing"/>
        <w:rPr>
          <w:sz w:val="28"/>
          <w:szCs w:val="28"/>
        </w:rPr>
      </w:pPr>
    </w:p>
    <w:p w:rsidR="004D0CEB" w:rsidRPr="0093195F" w:rsidRDefault="0093195F" w:rsidP="004D0CEB">
      <w:pPr>
        <w:pStyle w:val="NoSpacing"/>
        <w:rPr>
          <w:b/>
          <w:sz w:val="24"/>
          <w:szCs w:val="24"/>
        </w:rPr>
      </w:pPr>
      <w:r w:rsidRPr="0093195F">
        <w:rPr>
          <w:b/>
          <w:sz w:val="24"/>
          <w:szCs w:val="24"/>
        </w:rPr>
        <w:t>Om sameiet:</w:t>
      </w:r>
    </w:p>
    <w:p w:rsidR="002F05C0" w:rsidRDefault="004D0CEB" w:rsidP="004D0CEB">
      <w:pPr>
        <w:pStyle w:val="NoSpacing"/>
        <w:rPr>
          <w:sz w:val="24"/>
          <w:szCs w:val="24"/>
        </w:rPr>
      </w:pPr>
      <w:r w:rsidRPr="004D0CEB">
        <w:rPr>
          <w:sz w:val="24"/>
          <w:szCs w:val="24"/>
        </w:rPr>
        <w:t>Sameiet Majorstutorvet med adressene Gardeveien 17 og Harald Hårfagres gate 2</w:t>
      </w:r>
      <w:r>
        <w:rPr>
          <w:sz w:val="24"/>
          <w:szCs w:val="24"/>
        </w:rPr>
        <w:t xml:space="preserve"> har 126 leiligheter og 10 næringsseksjoner</w:t>
      </w:r>
      <w:r w:rsidR="002F05C0">
        <w:rPr>
          <w:sz w:val="24"/>
          <w:szCs w:val="24"/>
        </w:rPr>
        <w:t>, Klinikk for Alle, Bibliotek, Coop Extra og garasjeseksjoner med innkjøring fra Harald Hårfagres gate 2.</w:t>
      </w:r>
    </w:p>
    <w:p w:rsidR="00C041E3" w:rsidRDefault="0093195F" w:rsidP="004D0C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 fleste leilighetene er ensidig belyst</w:t>
      </w:r>
      <w:r w:rsidR="00BB2BF1">
        <w:rPr>
          <w:sz w:val="24"/>
          <w:szCs w:val="24"/>
        </w:rPr>
        <w:t>/orientert</w:t>
      </w:r>
      <w:r>
        <w:rPr>
          <w:sz w:val="24"/>
          <w:szCs w:val="24"/>
        </w:rPr>
        <w:t xml:space="preserve">, mange mot </w:t>
      </w:r>
      <w:r w:rsidR="00BB2BF1">
        <w:rPr>
          <w:sz w:val="24"/>
          <w:szCs w:val="24"/>
        </w:rPr>
        <w:t>s</w:t>
      </w:r>
      <w:r w:rsidR="006845EA">
        <w:rPr>
          <w:sz w:val="24"/>
          <w:szCs w:val="24"/>
        </w:rPr>
        <w:t>yd</w:t>
      </w:r>
      <w:r w:rsidR="00BB2BF1">
        <w:rPr>
          <w:sz w:val="24"/>
          <w:szCs w:val="24"/>
        </w:rPr>
        <w:t>øst</w:t>
      </w:r>
      <w:r>
        <w:rPr>
          <w:sz w:val="24"/>
          <w:szCs w:val="24"/>
        </w:rPr>
        <w:t xml:space="preserve"> og nord</w:t>
      </w:r>
      <w:r w:rsidR="006845EA">
        <w:rPr>
          <w:sz w:val="24"/>
          <w:szCs w:val="24"/>
        </w:rPr>
        <w:t>vest (mot Gardeveien). Leilighetene mot Gardeveien er mest utsatt for skyggevirkninger fra de ulike planforslagene.</w:t>
      </w:r>
      <w:r>
        <w:rPr>
          <w:sz w:val="24"/>
          <w:szCs w:val="24"/>
        </w:rPr>
        <w:t xml:space="preserve"> </w:t>
      </w:r>
      <w:r w:rsidR="003803AA">
        <w:rPr>
          <w:sz w:val="24"/>
          <w:szCs w:val="24"/>
        </w:rPr>
        <w:t>Vi har et</w:t>
      </w:r>
      <w:r>
        <w:rPr>
          <w:sz w:val="24"/>
          <w:szCs w:val="24"/>
        </w:rPr>
        <w:t xml:space="preserve"> felles gårdsrom (atrium)</w:t>
      </w:r>
      <w:r w:rsidR="00C041E3">
        <w:rPr>
          <w:sz w:val="24"/>
          <w:szCs w:val="24"/>
        </w:rPr>
        <w:t xml:space="preserve"> og leiligheter vendt ut mot atriet,</w:t>
      </w:r>
      <w:r w:rsidR="00BB2BF1">
        <w:rPr>
          <w:sz w:val="24"/>
          <w:szCs w:val="24"/>
        </w:rPr>
        <w:t xml:space="preserve"> som også får redusert solinnfall</w:t>
      </w:r>
      <w:r w:rsidR="00C041E3">
        <w:rPr>
          <w:sz w:val="24"/>
          <w:szCs w:val="24"/>
        </w:rPr>
        <w:t xml:space="preserve"> som følge av planene.</w:t>
      </w:r>
    </w:p>
    <w:p w:rsidR="00CF4256" w:rsidRDefault="00CF4256" w:rsidP="004D0CEB">
      <w:pPr>
        <w:pStyle w:val="NoSpacing"/>
        <w:rPr>
          <w:sz w:val="24"/>
          <w:szCs w:val="24"/>
        </w:rPr>
      </w:pPr>
    </w:p>
    <w:p w:rsidR="002F05C0" w:rsidRPr="0093195F" w:rsidRDefault="002F05C0" w:rsidP="004D0CEB">
      <w:pPr>
        <w:pStyle w:val="NoSpacing"/>
        <w:rPr>
          <w:b/>
          <w:sz w:val="24"/>
          <w:szCs w:val="24"/>
        </w:rPr>
      </w:pPr>
      <w:r w:rsidRPr="0093195F">
        <w:rPr>
          <w:b/>
          <w:sz w:val="24"/>
          <w:szCs w:val="24"/>
        </w:rPr>
        <w:t>Generelt:</w:t>
      </w:r>
    </w:p>
    <w:p w:rsidR="002F05C0" w:rsidRDefault="002F05C0" w:rsidP="004D0C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Alle tre alternativer påvirker i betydelig grad sameiet</w:t>
      </w:r>
      <w:r w:rsidR="00852ED2">
        <w:rPr>
          <w:sz w:val="24"/>
          <w:szCs w:val="24"/>
        </w:rPr>
        <w:t xml:space="preserve"> og nærmiljøet </w:t>
      </w:r>
      <w:r>
        <w:rPr>
          <w:sz w:val="24"/>
          <w:szCs w:val="24"/>
        </w:rPr>
        <w:t>både positivt og negativt.</w:t>
      </w:r>
    </w:p>
    <w:p w:rsidR="002F05C0" w:rsidRDefault="002F05C0" w:rsidP="004D0C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 ser positivt på at Majorstuen utvikles til et effektivt kollektivknutepunkt med </w:t>
      </w:r>
      <w:r w:rsidR="003803AA">
        <w:rPr>
          <w:sz w:val="24"/>
          <w:szCs w:val="24"/>
        </w:rPr>
        <w:t xml:space="preserve">underjordisk </w:t>
      </w:r>
      <w:r>
        <w:rPr>
          <w:sz w:val="24"/>
          <w:szCs w:val="24"/>
        </w:rPr>
        <w:t xml:space="preserve">T-banestasjon i to etasjer. Planene innebærer forbedring av trafikkforholdene for </w:t>
      </w:r>
      <w:r w:rsidR="0093195F">
        <w:rPr>
          <w:sz w:val="24"/>
          <w:szCs w:val="24"/>
        </w:rPr>
        <w:t xml:space="preserve">flere </w:t>
      </w:r>
      <w:r>
        <w:rPr>
          <w:sz w:val="24"/>
          <w:szCs w:val="24"/>
        </w:rPr>
        <w:t>trafikantgrupper. Gang- og sykkelveier mellom Slemdalsveien og Sørkedalsveien gir bedre adkomst til hele</w:t>
      </w:r>
      <w:r w:rsidR="0093195F">
        <w:rPr>
          <w:sz w:val="24"/>
          <w:szCs w:val="24"/>
        </w:rPr>
        <w:t xml:space="preserve"> Majorstuen</w:t>
      </w:r>
      <w:r>
        <w:rPr>
          <w:sz w:val="24"/>
          <w:szCs w:val="24"/>
        </w:rPr>
        <w:t xml:space="preserve">. </w:t>
      </w:r>
    </w:p>
    <w:p w:rsidR="002F05C0" w:rsidRDefault="002F05C0" w:rsidP="004D0C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 er fornøyd med ny park og et sammenhengende grøntdrag fra Blinderndraget, </w:t>
      </w:r>
      <w:r w:rsidR="0093195F">
        <w:rPr>
          <w:sz w:val="24"/>
          <w:szCs w:val="24"/>
        </w:rPr>
        <w:t>via Friggfeltet mot Frognerparken og ser positivt på åpning av Frognerelva.</w:t>
      </w:r>
    </w:p>
    <w:p w:rsidR="0093195F" w:rsidRDefault="0093195F" w:rsidP="004D0C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Det negative knytter seg til den store bygningsmassen med dominerende høyder og volumer langs </w:t>
      </w:r>
      <w:r w:rsidR="00CF4256">
        <w:rPr>
          <w:sz w:val="24"/>
          <w:szCs w:val="24"/>
        </w:rPr>
        <w:t xml:space="preserve">den forholdsvis trange </w:t>
      </w:r>
      <w:r>
        <w:rPr>
          <w:sz w:val="24"/>
          <w:szCs w:val="24"/>
        </w:rPr>
        <w:t xml:space="preserve">Slemdalsveien. </w:t>
      </w:r>
      <w:r w:rsidR="00852ED2">
        <w:rPr>
          <w:sz w:val="24"/>
          <w:szCs w:val="24"/>
        </w:rPr>
        <w:t>Vi minner om at Majorstuen allerede er det tettest befolkede området i Oslo.</w:t>
      </w:r>
      <w:r w:rsidR="00C041E3">
        <w:rPr>
          <w:sz w:val="24"/>
          <w:szCs w:val="24"/>
        </w:rPr>
        <w:t xml:space="preserve"> Alternativene 1 A og 2 er et kraftig brudd på vedtatt høyhusstrategi med henholdsvis 70 og 58 meter høy bebyggelse. Det stiller vi oss meget kritisk til.</w:t>
      </w:r>
    </w:p>
    <w:p w:rsidR="00CF7DA8" w:rsidRDefault="00CF7DA8" w:rsidP="004D0CEB">
      <w:pPr>
        <w:pStyle w:val="NoSpacing"/>
        <w:rPr>
          <w:sz w:val="24"/>
          <w:szCs w:val="24"/>
        </w:rPr>
      </w:pPr>
    </w:p>
    <w:p w:rsidR="00FD6EA4" w:rsidRPr="00CF7DA8" w:rsidRDefault="00CF7DA8" w:rsidP="004D0CEB">
      <w:pPr>
        <w:pStyle w:val="NoSpacing"/>
        <w:rPr>
          <w:b/>
          <w:sz w:val="24"/>
          <w:szCs w:val="24"/>
        </w:rPr>
      </w:pPr>
      <w:r w:rsidRPr="00CF7DA8">
        <w:rPr>
          <w:b/>
          <w:sz w:val="24"/>
          <w:szCs w:val="24"/>
        </w:rPr>
        <w:t>Bebyggelsen</w:t>
      </w:r>
      <w:r w:rsidR="0093195F">
        <w:rPr>
          <w:b/>
          <w:sz w:val="24"/>
          <w:szCs w:val="24"/>
        </w:rPr>
        <w:t xml:space="preserve"> og tap av dagslys</w:t>
      </w:r>
    </w:p>
    <w:p w:rsidR="007C29FA" w:rsidRDefault="00FD6EA4" w:rsidP="00C03562">
      <w:pPr>
        <w:pStyle w:val="NoSpacing"/>
        <w:numPr>
          <w:ilvl w:val="0"/>
          <w:numId w:val="5"/>
        </w:numPr>
        <w:ind w:left="680"/>
        <w:jc w:val="both"/>
        <w:rPr>
          <w:sz w:val="24"/>
          <w:szCs w:val="24"/>
        </w:rPr>
      </w:pPr>
      <w:r w:rsidRPr="007C29FA">
        <w:rPr>
          <w:sz w:val="24"/>
          <w:szCs w:val="24"/>
        </w:rPr>
        <w:t>Ruters</w:t>
      </w:r>
      <w:r w:rsidR="00C041E3">
        <w:rPr>
          <w:sz w:val="24"/>
          <w:szCs w:val="24"/>
        </w:rPr>
        <w:t xml:space="preserve"> </w:t>
      </w:r>
      <w:r w:rsidR="0093195F" w:rsidRPr="007C29FA">
        <w:rPr>
          <w:sz w:val="24"/>
          <w:szCs w:val="24"/>
        </w:rPr>
        <w:t>og</w:t>
      </w:r>
      <w:r w:rsidR="003803AA" w:rsidRPr="007C29FA">
        <w:rPr>
          <w:sz w:val="24"/>
          <w:szCs w:val="24"/>
        </w:rPr>
        <w:t xml:space="preserve"> </w:t>
      </w:r>
      <w:proofErr w:type="spellStart"/>
      <w:r w:rsidR="003803AA" w:rsidRPr="007C29FA">
        <w:rPr>
          <w:sz w:val="24"/>
          <w:szCs w:val="24"/>
        </w:rPr>
        <w:t>PBEs</w:t>
      </w:r>
      <w:proofErr w:type="spellEnd"/>
      <w:r w:rsidR="003803AA" w:rsidRPr="007C29FA">
        <w:rPr>
          <w:sz w:val="24"/>
          <w:szCs w:val="24"/>
        </w:rPr>
        <w:t xml:space="preserve"> alternativ</w:t>
      </w:r>
      <w:r w:rsidR="00C041E3">
        <w:rPr>
          <w:sz w:val="24"/>
          <w:szCs w:val="24"/>
        </w:rPr>
        <w:t xml:space="preserve">er </w:t>
      </w:r>
      <w:r w:rsidRPr="007C29FA">
        <w:rPr>
          <w:sz w:val="24"/>
          <w:szCs w:val="24"/>
        </w:rPr>
        <w:t xml:space="preserve">fører til en vesentlig forringelse av våre boforhold </w:t>
      </w:r>
      <w:r w:rsidR="0093195F" w:rsidRPr="007C29FA">
        <w:rPr>
          <w:sz w:val="24"/>
          <w:szCs w:val="24"/>
        </w:rPr>
        <w:t xml:space="preserve">og livskvalitet ved tap av sol og </w:t>
      </w:r>
      <w:r w:rsidR="00BB2BF1">
        <w:rPr>
          <w:sz w:val="24"/>
          <w:szCs w:val="24"/>
        </w:rPr>
        <w:t>dags</w:t>
      </w:r>
      <w:r w:rsidR="0093195F" w:rsidRPr="007C29FA">
        <w:rPr>
          <w:sz w:val="24"/>
          <w:szCs w:val="24"/>
        </w:rPr>
        <w:t>lys. I særlig grad gjelder dette</w:t>
      </w:r>
      <w:r w:rsidR="00546662" w:rsidRPr="007C29FA">
        <w:rPr>
          <w:sz w:val="24"/>
          <w:szCs w:val="24"/>
        </w:rPr>
        <w:t xml:space="preserve"> de ca. 30</w:t>
      </w:r>
      <w:r w:rsidR="00BB2BF1">
        <w:rPr>
          <w:sz w:val="24"/>
          <w:szCs w:val="24"/>
        </w:rPr>
        <w:t xml:space="preserve"> ensidig orienterte</w:t>
      </w:r>
      <w:r w:rsidR="0093195F" w:rsidRPr="007C29FA">
        <w:rPr>
          <w:sz w:val="24"/>
          <w:szCs w:val="24"/>
        </w:rPr>
        <w:t xml:space="preserve"> boligene vendt mot nordvest (Gardeveien). </w:t>
      </w:r>
      <w:r w:rsidR="003803AA" w:rsidRPr="007C29FA">
        <w:rPr>
          <w:sz w:val="24"/>
          <w:szCs w:val="24"/>
        </w:rPr>
        <w:t xml:space="preserve">Mange av disse boligene har også i dag lite sol og lys. </w:t>
      </w:r>
      <w:r w:rsidR="0093195F" w:rsidRPr="007C29FA">
        <w:rPr>
          <w:sz w:val="24"/>
          <w:szCs w:val="24"/>
        </w:rPr>
        <w:t>For noen boliger i nederste etasje</w:t>
      </w:r>
      <w:r w:rsidR="00C041E3">
        <w:rPr>
          <w:sz w:val="24"/>
          <w:szCs w:val="24"/>
        </w:rPr>
        <w:t xml:space="preserve"> (bygningens 2.etasje) </w:t>
      </w:r>
      <w:r w:rsidR="0093195F" w:rsidRPr="007C29FA">
        <w:rPr>
          <w:sz w:val="24"/>
          <w:szCs w:val="24"/>
        </w:rPr>
        <w:t xml:space="preserve">vil antall soltimer på balkong </w:t>
      </w:r>
      <w:r w:rsidR="007E650B">
        <w:rPr>
          <w:sz w:val="24"/>
          <w:szCs w:val="24"/>
        </w:rPr>
        <w:t>nærme seg</w:t>
      </w:r>
      <w:r w:rsidR="0093195F" w:rsidRPr="007C29FA">
        <w:rPr>
          <w:sz w:val="24"/>
          <w:szCs w:val="24"/>
        </w:rPr>
        <w:t xml:space="preserve"> null</w:t>
      </w:r>
      <w:r w:rsidR="007C29FA">
        <w:rPr>
          <w:sz w:val="24"/>
          <w:szCs w:val="24"/>
        </w:rPr>
        <w:t>.</w:t>
      </w:r>
    </w:p>
    <w:p w:rsidR="00C041E3" w:rsidRDefault="00C03562" w:rsidP="00C041E3">
      <w:pPr>
        <w:pStyle w:val="NoSpacing"/>
        <w:ind w:left="680"/>
        <w:jc w:val="both"/>
        <w:rPr>
          <w:sz w:val="24"/>
          <w:szCs w:val="24"/>
        </w:rPr>
      </w:pPr>
      <w:r w:rsidRPr="007C29FA">
        <w:rPr>
          <w:sz w:val="24"/>
          <w:szCs w:val="24"/>
        </w:rPr>
        <w:t xml:space="preserve">Også de fleste av de øvrige </w:t>
      </w:r>
      <w:r w:rsidR="00546662" w:rsidRPr="007C29FA">
        <w:rPr>
          <w:sz w:val="24"/>
          <w:szCs w:val="24"/>
        </w:rPr>
        <w:t xml:space="preserve">leilighetene i sameiet vil få </w:t>
      </w:r>
      <w:r w:rsidR="00BB2BF1">
        <w:rPr>
          <w:sz w:val="24"/>
          <w:szCs w:val="24"/>
        </w:rPr>
        <w:t>mindre</w:t>
      </w:r>
      <w:r w:rsidR="00546662" w:rsidRPr="007C29FA">
        <w:rPr>
          <w:sz w:val="24"/>
          <w:szCs w:val="24"/>
        </w:rPr>
        <w:t xml:space="preserve"> </w:t>
      </w:r>
      <w:r w:rsidR="00BB2BF1">
        <w:rPr>
          <w:sz w:val="24"/>
          <w:szCs w:val="24"/>
        </w:rPr>
        <w:t>dags</w:t>
      </w:r>
      <w:r w:rsidR="00546662" w:rsidRPr="007C29FA">
        <w:rPr>
          <w:sz w:val="24"/>
          <w:szCs w:val="24"/>
        </w:rPr>
        <w:t>lys</w:t>
      </w:r>
      <w:r w:rsidR="00BB2BF1">
        <w:rPr>
          <w:sz w:val="24"/>
          <w:szCs w:val="24"/>
        </w:rPr>
        <w:t xml:space="preserve"> </w:t>
      </w:r>
      <w:r w:rsidR="00546662" w:rsidRPr="007C29FA">
        <w:rPr>
          <w:sz w:val="24"/>
          <w:szCs w:val="24"/>
        </w:rPr>
        <w:t>og</w:t>
      </w:r>
      <w:r w:rsidR="00BB2BF1">
        <w:rPr>
          <w:sz w:val="24"/>
          <w:szCs w:val="24"/>
        </w:rPr>
        <w:t xml:space="preserve"> dårligere</w:t>
      </w:r>
      <w:r w:rsidR="00546662" w:rsidRPr="007C29FA">
        <w:rPr>
          <w:sz w:val="24"/>
          <w:szCs w:val="24"/>
        </w:rPr>
        <w:t xml:space="preserve"> solforhold med disse</w:t>
      </w:r>
      <w:r w:rsidR="007E650B">
        <w:rPr>
          <w:sz w:val="24"/>
          <w:szCs w:val="24"/>
        </w:rPr>
        <w:t xml:space="preserve"> </w:t>
      </w:r>
      <w:r w:rsidR="00546662" w:rsidRPr="007C29FA">
        <w:rPr>
          <w:sz w:val="24"/>
          <w:szCs w:val="24"/>
        </w:rPr>
        <w:t xml:space="preserve">alternativene. </w:t>
      </w:r>
      <w:r w:rsidR="00FD6EA4" w:rsidRPr="007C29FA">
        <w:rPr>
          <w:sz w:val="24"/>
          <w:szCs w:val="24"/>
        </w:rPr>
        <w:t>Forslage</w:t>
      </w:r>
      <w:r w:rsidR="007E650B">
        <w:rPr>
          <w:sz w:val="24"/>
          <w:szCs w:val="24"/>
        </w:rPr>
        <w:t>ne</w:t>
      </w:r>
      <w:r w:rsidR="00FD6EA4" w:rsidRPr="007C29FA">
        <w:rPr>
          <w:sz w:val="24"/>
          <w:szCs w:val="24"/>
        </w:rPr>
        <w:t xml:space="preserve"> vil </w:t>
      </w:r>
      <w:r w:rsidR="007C29FA">
        <w:rPr>
          <w:sz w:val="24"/>
          <w:szCs w:val="24"/>
        </w:rPr>
        <w:t>redusere</w:t>
      </w:r>
      <w:r w:rsidR="00FD6EA4" w:rsidRPr="007C29FA">
        <w:rPr>
          <w:sz w:val="24"/>
          <w:szCs w:val="24"/>
        </w:rPr>
        <w:t xml:space="preserve"> ettermiddagssol i mange leiligheter og </w:t>
      </w:r>
      <w:r w:rsidR="00546662" w:rsidRPr="007C29FA">
        <w:rPr>
          <w:sz w:val="24"/>
          <w:szCs w:val="24"/>
        </w:rPr>
        <w:t xml:space="preserve">delvis </w:t>
      </w:r>
      <w:r w:rsidR="00FD6EA4" w:rsidRPr="007C29FA">
        <w:rPr>
          <w:sz w:val="24"/>
          <w:szCs w:val="24"/>
        </w:rPr>
        <w:t>skyggelegge atriet</w:t>
      </w:r>
      <w:r w:rsidR="00D76F63">
        <w:rPr>
          <w:sz w:val="24"/>
          <w:szCs w:val="24"/>
        </w:rPr>
        <w:t>.</w:t>
      </w:r>
    </w:p>
    <w:p w:rsidR="00C041E3" w:rsidRDefault="00D76F63" w:rsidP="00D76F63">
      <w:pPr>
        <w:pStyle w:val="NoSpacing"/>
        <w:numPr>
          <w:ilvl w:val="0"/>
          <w:numId w:val="5"/>
        </w:numPr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Sameiet gjør oppmerksom på at det i «Rapporten om Sammenstilling av konsekvenser» er feil angående sol/skyggevirkninger av de forskjellige feltene. Det heter i rapporten at «de negative konsekvensene for nærliggende bebyggelse er primært knyttet til sol på deres uteoppholdsareal i gårdsrommene og sol på fasader mot gårdsrommene. Det er i hovedsak høyhusene i S1 og S2 som gir skygge på disse flatene.». De to vesentlige feilene er for det første at det er de ensidige boligene i Gardeveien som får mest skygge og for det andre at skyggene kommer fra S3 i tillegg til S2.</w:t>
      </w:r>
    </w:p>
    <w:p w:rsidR="00D76F63" w:rsidRDefault="00D76F63" w:rsidP="00D76F63">
      <w:pPr>
        <w:pStyle w:val="NoSpacing"/>
        <w:numPr>
          <w:ilvl w:val="0"/>
          <w:numId w:val="5"/>
        </w:numPr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Byantikvarens forslag 3 med åtte etasjers bebyggelse er for vårt sameie det eneste akseptable.</w:t>
      </w:r>
    </w:p>
    <w:p w:rsidR="00C041E3" w:rsidRDefault="00C041E3" w:rsidP="00C041E3">
      <w:pPr>
        <w:pStyle w:val="NoSpacing"/>
        <w:ind w:left="680"/>
        <w:jc w:val="both"/>
        <w:rPr>
          <w:sz w:val="24"/>
          <w:szCs w:val="24"/>
        </w:rPr>
      </w:pPr>
    </w:p>
    <w:p w:rsidR="001B5892" w:rsidRDefault="001B5892" w:rsidP="00C03562">
      <w:pPr>
        <w:pStyle w:val="NoSpacing"/>
        <w:numPr>
          <w:ilvl w:val="0"/>
          <w:numId w:val="1"/>
        </w:numPr>
        <w:ind w:left="643"/>
        <w:rPr>
          <w:sz w:val="24"/>
          <w:szCs w:val="24"/>
        </w:rPr>
      </w:pPr>
      <w:r>
        <w:rPr>
          <w:sz w:val="24"/>
          <w:szCs w:val="24"/>
        </w:rPr>
        <w:lastRenderedPageBreak/>
        <w:t>Vi registrerer at forslagsstillerne Ruter og PBE gir løfter om</w:t>
      </w:r>
      <w:r w:rsidR="007E1827">
        <w:rPr>
          <w:sz w:val="24"/>
          <w:szCs w:val="24"/>
        </w:rPr>
        <w:t xml:space="preserve"> akseptable</w:t>
      </w:r>
      <w:r>
        <w:rPr>
          <w:sz w:val="24"/>
          <w:szCs w:val="24"/>
        </w:rPr>
        <w:t xml:space="preserve"> solforhold til ny bebyggelse, men ikke tar hensyn til eksisterende beboere i området.</w:t>
      </w:r>
      <w:r w:rsidR="00C03562">
        <w:rPr>
          <w:sz w:val="24"/>
          <w:szCs w:val="24"/>
        </w:rPr>
        <w:t xml:space="preserve"> Plan- og bygningsloven med forskrifter har normer for solforhold for ny bebyggelse. Men når boligene står ferdige, opphører</w:t>
      </w:r>
      <w:r w:rsidR="007E1827">
        <w:rPr>
          <w:sz w:val="24"/>
          <w:szCs w:val="24"/>
        </w:rPr>
        <w:t xml:space="preserve"> vern mot </w:t>
      </w:r>
      <w:r w:rsidR="00852ED2">
        <w:rPr>
          <w:sz w:val="24"/>
          <w:szCs w:val="24"/>
        </w:rPr>
        <w:t>mangel på dagslys og sol</w:t>
      </w:r>
      <w:r w:rsidR="007E1827">
        <w:rPr>
          <w:sz w:val="24"/>
          <w:szCs w:val="24"/>
        </w:rPr>
        <w:t xml:space="preserve">. </w:t>
      </w:r>
      <w:r w:rsidR="007E650B">
        <w:rPr>
          <w:sz w:val="24"/>
          <w:szCs w:val="24"/>
        </w:rPr>
        <w:t>De av våre boliger som blir hardest rammet</w:t>
      </w:r>
      <w:r w:rsidR="00852ED2">
        <w:rPr>
          <w:sz w:val="24"/>
          <w:szCs w:val="24"/>
        </w:rPr>
        <w:t xml:space="preserve"> ved valg av alternativene 1 og 2</w:t>
      </w:r>
      <w:r w:rsidR="007E650B">
        <w:rPr>
          <w:sz w:val="24"/>
          <w:szCs w:val="24"/>
        </w:rPr>
        <w:t>,</w:t>
      </w:r>
      <w:r w:rsidR="007E1827">
        <w:rPr>
          <w:sz w:val="24"/>
          <w:szCs w:val="24"/>
        </w:rPr>
        <w:t xml:space="preserve"> ville neppe bli tillatt bygget</w:t>
      </w:r>
      <w:r w:rsidR="00852ED2">
        <w:rPr>
          <w:sz w:val="24"/>
          <w:szCs w:val="24"/>
        </w:rPr>
        <w:t xml:space="preserve"> med slike solforhold.</w:t>
      </w:r>
    </w:p>
    <w:p w:rsidR="00414225" w:rsidRDefault="00414225" w:rsidP="00414225">
      <w:pPr>
        <w:pStyle w:val="NoSpacing"/>
        <w:ind w:left="643"/>
        <w:rPr>
          <w:sz w:val="24"/>
          <w:szCs w:val="24"/>
        </w:rPr>
      </w:pPr>
    </w:p>
    <w:p w:rsidR="00414225" w:rsidRPr="003803AA" w:rsidRDefault="00414225" w:rsidP="00414225">
      <w:pPr>
        <w:pStyle w:val="NoSpacing"/>
        <w:rPr>
          <w:b/>
          <w:sz w:val="24"/>
          <w:szCs w:val="24"/>
        </w:rPr>
      </w:pPr>
      <w:r w:rsidRPr="003803AA">
        <w:rPr>
          <w:b/>
          <w:sz w:val="24"/>
          <w:szCs w:val="24"/>
        </w:rPr>
        <w:t>Nærmiljøet</w:t>
      </w:r>
    </w:p>
    <w:p w:rsidR="00414225" w:rsidRDefault="00414225" w:rsidP="0041422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Det foreslås en kvartalslignende utbygging med en form for basisbebyggelse i seks etasjer. Over dette basisnivået vises ulike tårn/høybygg. Illustrasjonene er mangelfulle når det gjelder å vise fra fotgjengernivå hvor dominerende den nye bebyggelsen blir. Vi ser en barriere-effekt med høyder og nærhet som virker svært truende og uønsket.</w:t>
      </w:r>
    </w:p>
    <w:p w:rsidR="00FA19CF" w:rsidRDefault="00FA19CF" w:rsidP="00FA19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 heftet «Byplanprinsipper som grunnlag for regulering» er det bl. a. vist til prinsippskisser for delområdene S1, S2 og S3 der det fremgår hvordan skyggevirkning fra den 6-etasjes basisbebyggelsen med ulike høye bygningsvolumer forsøkes tilpasset eksisterende bebyggelse langs Valkyriegate/Slemdalsveien med tilhørende sidegater.</w:t>
      </w:r>
    </w:p>
    <w:p w:rsidR="00FA19CF" w:rsidRDefault="00FA19CF" w:rsidP="00FA19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Dessverre er den skyggelegging skissene viser kun basert på solhøyder </w:t>
      </w:r>
      <w:proofErr w:type="spellStart"/>
      <w:r>
        <w:rPr>
          <w:sz w:val="24"/>
          <w:szCs w:val="24"/>
        </w:rPr>
        <w:t>mht</w:t>
      </w:r>
      <w:proofErr w:type="spellEnd"/>
      <w:r>
        <w:rPr>
          <w:sz w:val="24"/>
          <w:szCs w:val="24"/>
        </w:rPr>
        <w:t xml:space="preserve"> til årstid og tidspunkt på dagen som gir svært gunstige skyggeforhold.</w:t>
      </w:r>
    </w:p>
    <w:p w:rsidR="00FA19CF" w:rsidRDefault="00FA19CF" w:rsidP="00FA19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Disse skissene harmonerer dårlig med de egentlige soldiagrammene/skyggestudiene som er utarbeidet.</w:t>
      </w:r>
    </w:p>
    <w:p w:rsidR="00414225" w:rsidRPr="00414225" w:rsidRDefault="00414225" w:rsidP="0041422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tråd med Byantikvarens argumenter for alternativ 3 er vi opptatt av at strøkets arkitektoniske karakter med hensyn til byggehøyder og variasjon i fasadeuttrykk</w:t>
      </w:r>
      <w:r w:rsidR="00FA19CF">
        <w:rPr>
          <w:sz w:val="24"/>
          <w:szCs w:val="24"/>
        </w:rPr>
        <w:t xml:space="preserve"> bør ivaretas.</w:t>
      </w:r>
    </w:p>
    <w:p w:rsidR="00414225" w:rsidRDefault="00414225" w:rsidP="00414225">
      <w:pPr>
        <w:pStyle w:val="NoSpacing"/>
        <w:ind w:left="643"/>
        <w:rPr>
          <w:sz w:val="24"/>
          <w:szCs w:val="24"/>
        </w:rPr>
      </w:pPr>
    </w:p>
    <w:p w:rsidR="00CF7DA8" w:rsidRDefault="00CF7DA8" w:rsidP="00CF7DA8">
      <w:pPr>
        <w:pStyle w:val="NoSpacing"/>
        <w:ind w:left="720"/>
        <w:rPr>
          <w:sz w:val="24"/>
          <w:szCs w:val="24"/>
        </w:rPr>
      </w:pPr>
    </w:p>
    <w:p w:rsidR="00CF7DA8" w:rsidRPr="001C6007" w:rsidRDefault="00CF7DA8" w:rsidP="00CF7DA8">
      <w:pPr>
        <w:pStyle w:val="NoSpacing"/>
        <w:rPr>
          <w:b/>
          <w:sz w:val="24"/>
          <w:szCs w:val="24"/>
        </w:rPr>
      </w:pPr>
      <w:r w:rsidRPr="00CF7DA8">
        <w:rPr>
          <w:b/>
          <w:sz w:val="24"/>
          <w:szCs w:val="24"/>
        </w:rPr>
        <w:t>Trafikkløsning</w:t>
      </w:r>
    </w:p>
    <w:p w:rsidR="00CF7DA8" w:rsidRDefault="00CF7DA8" w:rsidP="00CF7DA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 støtte</w:t>
      </w:r>
      <w:r w:rsidR="00852ED2">
        <w:rPr>
          <w:sz w:val="24"/>
          <w:szCs w:val="24"/>
        </w:rPr>
        <w:t>r</w:t>
      </w:r>
      <w:r>
        <w:rPr>
          <w:sz w:val="24"/>
          <w:szCs w:val="24"/>
        </w:rPr>
        <w:t xml:space="preserve"> Ruters alternativ med stengning av Valkyriegate for ordinær biltrafikk. Det forutsetter at det </w:t>
      </w:r>
      <w:r w:rsidR="00154A23">
        <w:rPr>
          <w:sz w:val="24"/>
          <w:szCs w:val="24"/>
        </w:rPr>
        <w:t>fortsatt blir</w:t>
      </w:r>
      <w:r>
        <w:rPr>
          <w:sz w:val="24"/>
          <w:szCs w:val="24"/>
        </w:rPr>
        <w:t xml:space="preserve"> mulig å kjøre til vår eiendom </w:t>
      </w:r>
      <w:r w:rsidR="00154A23">
        <w:rPr>
          <w:sz w:val="24"/>
          <w:szCs w:val="24"/>
        </w:rPr>
        <w:t>fra Slemdalsveien</w:t>
      </w:r>
      <w:r>
        <w:rPr>
          <w:sz w:val="24"/>
          <w:szCs w:val="24"/>
        </w:rPr>
        <w:t>, både til Gardeveien 17 og til Harald Hårfagres gate 2, hvor det er innkjøring til vårt underjordiske garasjeanlegg.</w:t>
      </w:r>
      <w:r w:rsidR="00852ED2">
        <w:rPr>
          <w:sz w:val="24"/>
          <w:szCs w:val="24"/>
        </w:rPr>
        <w:t xml:space="preserve"> </w:t>
      </w:r>
    </w:p>
    <w:p w:rsidR="00CF7DA8" w:rsidRDefault="00CF7DA8" w:rsidP="00CF7DA8">
      <w:pPr>
        <w:pStyle w:val="NoSpacing"/>
        <w:rPr>
          <w:sz w:val="24"/>
          <w:szCs w:val="24"/>
        </w:rPr>
      </w:pPr>
    </w:p>
    <w:p w:rsidR="00CF7DA8" w:rsidRDefault="00CF7DA8" w:rsidP="00CF7DA8">
      <w:pPr>
        <w:pStyle w:val="NoSpacing"/>
        <w:rPr>
          <w:b/>
          <w:sz w:val="24"/>
          <w:szCs w:val="24"/>
        </w:rPr>
      </w:pPr>
      <w:r w:rsidRPr="00CF7DA8">
        <w:rPr>
          <w:b/>
          <w:sz w:val="24"/>
          <w:szCs w:val="24"/>
        </w:rPr>
        <w:t xml:space="preserve">Grunnforhold </w:t>
      </w:r>
      <w:r w:rsidR="007C29FA">
        <w:rPr>
          <w:b/>
          <w:sz w:val="24"/>
          <w:szCs w:val="24"/>
        </w:rPr>
        <w:t>og anleggsperiode</w:t>
      </w:r>
    </w:p>
    <w:p w:rsidR="00CF7DA8" w:rsidRPr="00CF7DA8" w:rsidRDefault="00CF7DA8" w:rsidP="00CF7DA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Vi er sterkt bekymret </w:t>
      </w:r>
      <w:r w:rsidR="0004537B">
        <w:rPr>
          <w:sz w:val="24"/>
          <w:szCs w:val="24"/>
        </w:rPr>
        <w:t xml:space="preserve">for </w:t>
      </w:r>
      <w:r>
        <w:rPr>
          <w:sz w:val="24"/>
          <w:szCs w:val="24"/>
        </w:rPr>
        <w:t>grunnforholdene</w:t>
      </w:r>
      <w:r w:rsidR="00852ED2">
        <w:rPr>
          <w:sz w:val="24"/>
          <w:szCs w:val="24"/>
        </w:rPr>
        <w:t>, som</w:t>
      </w:r>
      <w:r>
        <w:rPr>
          <w:sz w:val="24"/>
          <w:szCs w:val="24"/>
        </w:rPr>
        <w:t xml:space="preserve"> er svært dårlige. Vi frykter setningsskader</w:t>
      </w:r>
      <w:r w:rsidR="0004537B">
        <w:rPr>
          <w:sz w:val="24"/>
          <w:szCs w:val="24"/>
        </w:rPr>
        <w:t xml:space="preserve"> på vårt bygg.</w:t>
      </w:r>
    </w:p>
    <w:p w:rsidR="00CF7DA8" w:rsidRPr="00FA19CF" w:rsidRDefault="00CF7DA8" w:rsidP="00CF7DA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Anleggsarbeidene</w:t>
      </w:r>
      <w:r w:rsidR="003803AA">
        <w:rPr>
          <w:sz w:val="24"/>
          <w:szCs w:val="24"/>
        </w:rPr>
        <w:t xml:space="preserve"> blir langvarige og</w:t>
      </w:r>
      <w:r>
        <w:rPr>
          <w:sz w:val="24"/>
          <w:szCs w:val="24"/>
        </w:rPr>
        <w:t xml:space="preserve"> må planlegges og utføres slik at det blir minst mulig støy</w:t>
      </w:r>
      <w:r w:rsidR="003803AA">
        <w:rPr>
          <w:sz w:val="24"/>
          <w:szCs w:val="24"/>
        </w:rPr>
        <w:t xml:space="preserve"> og støv og minst mulig trafikal ulempe</w:t>
      </w:r>
      <w:r>
        <w:rPr>
          <w:sz w:val="24"/>
          <w:szCs w:val="24"/>
        </w:rPr>
        <w:t xml:space="preserve"> for våre beboere</w:t>
      </w:r>
      <w:r w:rsidR="003803AA">
        <w:rPr>
          <w:sz w:val="24"/>
          <w:szCs w:val="24"/>
        </w:rPr>
        <w:t xml:space="preserve"> og næringsdrivende.</w:t>
      </w:r>
    </w:p>
    <w:p w:rsidR="00FA19CF" w:rsidRDefault="00FA19CF" w:rsidP="00FA19CF">
      <w:pPr>
        <w:pStyle w:val="NoSpacing"/>
        <w:rPr>
          <w:sz w:val="24"/>
          <w:szCs w:val="24"/>
        </w:rPr>
      </w:pPr>
    </w:p>
    <w:p w:rsidR="00FA19CF" w:rsidRDefault="00FA19CF" w:rsidP="00FA19CF">
      <w:pPr>
        <w:pStyle w:val="NoSpacing"/>
        <w:rPr>
          <w:sz w:val="24"/>
          <w:szCs w:val="24"/>
        </w:rPr>
      </w:pPr>
    </w:p>
    <w:p w:rsidR="00FA19CF" w:rsidRDefault="00FA19CF" w:rsidP="00FA19CF">
      <w:pPr>
        <w:pStyle w:val="NoSpacing"/>
        <w:rPr>
          <w:sz w:val="24"/>
          <w:szCs w:val="24"/>
        </w:rPr>
      </w:pPr>
    </w:p>
    <w:p w:rsidR="00FA19CF" w:rsidRDefault="00FA19CF" w:rsidP="00FA19CF">
      <w:pPr>
        <w:pStyle w:val="NoSpacing"/>
        <w:rPr>
          <w:sz w:val="24"/>
          <w:szCs w:val="24"/>
        </w:rPr>
      </w:pPr>
    </w:p>
    <w:p w:rsidR="00FA19CF" w:rsidRDefault="00FA19CF" w:rsidP="00FA19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:rsidR="00FA19CF" w:rsidRDefault="00FA19CF" w:rsidP="00FA19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Heidi L</w:t>
      </w:r>
      <w:r w:rsidR="001C5877">
        <w:rPr>
          <w:sz w:val="24"/>
          <w:szCs w:val="24"/>
        </w:rPr>
        <w:t>arssen</w:t>
      </w:r>
      <w:bookmarkStart w:id="0" w:name="_GoBack"/>
      <w:bookmarkEnd w:id="0"/>
    </w:p>
    <w:p w:rsidR="00FA19CF" w:rsidRDefault="00FA19CF" w:rsidP="00FA19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Styreleder i Sameiet Majorstutorvet</w:t>
      </w:r>
    </w:p>
    <w:p w:rsidR="001C5877" w:rsidRDefault="001C5877" w:rsidP="00FA19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Gardeveien 17</w:t>
      </w:r>
    </w:p>
    <w:p w:rsidR="001C5877" w:rsidRPr="007E1827" w:rsidRDefault="001C5877" w:rsidP="00FA19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0363 Oslo</w:t>
      </w:r>
    </w:p>
    <w:p w:rsidR="007E1827" w:rsidRDefault="007E1827" w:rsidP="007E1827">
      <w:pPr>
        <w:pStyle w:val="NoSpacing"/>
        <w:rPr>
          <w:sz w:val="24"/>
          <w:szCs w:val="24"/>
        </w:rPr>
      </w:pPr>
    </w:p>
    <w:p w:rsidR="007E1827" w:rsidRPr="00CF7DA8" w:rsidRDefault="007E1827" w:rsidP="007E1827">
      <w:pPr>
        <w:pStyle w:val="NoSpacing"/>
        <w:rPr>
          <w:b/>
          <w:sz w:val="24"/>
          <w:szCs w:val="24"/>
        </w:rPr>
      </w:pPr>
    </w:p>
    <w:p w:rsidR="004D0CEB" w:rsidRPr="004D0CEB" w:rsidRDefault="004D0CEB" w:rsidP="004D0CEB">
      <w:pPr>
        <w:pStyle w:val="NoSpacing"/>
        <w:rPr>
          <w:sz w:val="28"/>
          <w:szCs w:val="28"/>
        </w:rPr>
      </w:pPr>
    </w:p>
    <w:p w:rsidR="004D0CEB" w:rsidRPr="004D0CEB" w:rsidRDefault="004D0CEB" w:rsidP="004D0CEB">
      <w:pPr>
        <w:pStyle w:val="NoSpacing"/>
        <w:rPr>
          <w:sz w:val="32"/>
          <w:szCs w:val="32"/>
        </w:rPr>
      </w:pPr>
    </w:p>
    <w:p w:rsidR="004D0CEB" w:rsidRPr="004D0CEB" w:rsidRDefault="004D0CEB" w:rsidP="004D0CEB">
      <w:pPr>
        <w:pStyle w:val="NoSpacing"/>
        <w:rPr>
          <w:sz w:val="32"/>
          <w:szCs w:val="32"/>
        </w:rPr>
      </w:pPr>
    </w:p>
    <w:p w:rsidR="004D0CEB" w:rsidRDefault="004D0CEB"/>
    <w:sectPr w:rsidR="004D0CEB" w:rsidSect="00C03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99F"/>
    <w:multiLevelType w:val="hybridMultilevel"/>
    <w:tmpl w:val="84320FEE"/>
    <w:lvl w:ilvl="0" w:tplc="041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58F3F55"/>
    <w:multiLevelType w:val="hybridMultilevel"/>
    <w:tmpl w:val="C16E0BBE"/>
    <w:lvl w:ilvl="0" w:tplc="0414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42865684"/>
    <w:multiLevelType w:val="hybridMultilevel"/>
    <w:tmpl w:val="A67C8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6389"/>
    <w:multiLevelType w:val="hybridMultilevel"/>
    <w:tmpl w:val="8856D194"/>
    <w:lvl w:ilvl="0" w:tplc="0414000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043B"/>
    <w:multiLevelType w:val="hybridMultilevel"/>
    <w:tmpl w:val="D0B65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0FB2"/>
    <w:multiLevelType w:val="hybridMultilevel"/>
    <w:tmpl w:val="9F9A5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C7245"/>
    <w:multiLevelType w:val="hybridMultilevel"/>
    <w:tmpl w:val="326A8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EB"/>
    <w:rsid w:val="0004537B"/>
    <w:rsid w:val="000547A4"/>
    <w:rsid w:val="000F63DC"/>
    <w:rsid w:val="00154A23"/>
    <w:rsid w:val="001A3E79"/>
    <w:rsid w:val="001B5892"/>
    <w:rsid w:val="001C5877"/>
    <w:rsid w:val="001C6007"/>
    <w:rsid w:val="002F05C0"/>
    <w:rsid w:val="0035028F"/>
    <w:rsid w:val="003775B2"/>
    <w:rsid w:val="003803AA"/>
    <w:rsid w:val="00414225"/>
    <w:rsid w:val="004D0CEB"/>
    <w:rsid w:val="00546662"/>
    <w:rsid w:val="006845EA"/>
    <w:rsid w:val="007C29FA"/>
    <w:rsid w:val="007E1827"/>
    <w:rsid w:val="007E650B"/>
    <w:rsid w:val="00836400"/>
    <w:rsid w:val="00852ED2"/>
    <w:rsid w:val="008C2EDA"/>
    <w:rsid w:val="0093195F"/>
    <w:rsid w:val="00AC41D6"/>
    <w:rsid w:val="00BB2BF1"/>
    <w:rsid w:val="00C03562"/>
    <w:rsid w:val="00C041E3"/>
    <w:rsid w:val="00CF4256"/>
    <w:rsid w:val="00CF7DA8"/>
    <w:rsid w:val="00D325CD"/>
    <w:rsid w:val="00D76F63"/>
    <w:rsid w:val="00F65513"/>
    <w:rsid w:val="00FA19CF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FAF6"/>
  <w15:chartTrackingRefBased/>
  <w15:docId w15:val="{C5B90A69-2918-47AC-86A4-C37E56E0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CE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D0C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D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mottak@pbe.oslo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B2D1-16DA-4D27-B65C-275E3A13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913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Myhrvold</dc:creator>
  <cp:keywords/>
  <dc:description/>
  <cp:lastModifiedBy>Frode &amp; Heidi</cp:lastModifiedBy>
  <cp:revision>6</cp:revision>
  <dcterms:created xsi:type="dcterms:W3CDTF">2019-02-28T07:23:00Z</dcterms:created>
  <dcterms:modified xsi:type="dcterms:W3CDTF">2019-02-28T13:06:00Z</dcterms:modified>
</cp:coreProperties>
</file>